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E18" w:rsidRPr="00B87C4A" w:rsidRDefault="00B87C4A" w:rsidP="00E11E18">
      <w:pPr>
        <w:spacing w:line="360" w:lineRule="auto"/>
        <w:rPr>
          <w:rFonts w:ascii="Arial" w:eastAsia="Times New Roman" w:hAnsi="Arial" w:cs="Arial"/>
          <w:b/>
          <w:color w:val="34495E"/>
          <w:sz w:val="45"/>
          <w:szCs w:val="45"/>
          <w:lang w:eastAsia="es-ES"/>
        </w:rPr>
      </w:pPr>
      <w:r w:rsidRPr="00B87C4A">
        <w:rPr>
          <w:rFonts w:ascii="Arial" w:eastAsia="Times New Roman" w:hAnsi="Arial" w:cs="Arial"/>
          <w:b/>
          <w:color w:val="34495E"/>
          <w:sz w:val="45"/>
          <w:szCs w:val="45"/>
          <w:lang w:eastAsia="es-ES"/>
        </w:rPr>
        <w:t>INFORMACIÓN FINANCIERA</w:t>
      </w:r>
    </w:p>
    <w:p w:rsidR="003C4332" w:rsidRPr="003C4332" w:rsidRDefault="003C4332" w:rsidP="00E11E18">
      <w:pPr>
        <w:spacing w:line="360" w:lineRule="auto"/>
        <w:rPr>
          <w:rFonts w:ascii="Arial" w:eastAsia="Times New Roman" w:hAnsi="Arial" w:cs="Arial"/>
          <w:b/>
          <w:color w:val="34495E"/>
          <w:sz w:val="28"/>
          <w:szCs w:val="45"/>
          <w:lang w:eastAsia="es-ES"/>
        </w:rPr>
      </w:pPr>
      <w:r w:rsidRPr="003C4332">
        <w:rPr>
          <w:rFonts w:ascii="Arial" w:eastAsia="Times New Roman" w:hAnsi="Arial" w:cs="Arial"/>
          <w:b/>
          <w:color w:val="34495E"/>
          <w:sz w:val="28"/>
          <w:szCs w:val="45"/>
          <w:lang w:eastAsia="es-ES"/>
        </w:rPr>
        <w:t>MOVILIDAD DE ESTUDIANTES</w:t>
      </w:r>
    </w:p>
    <w:p w:rsidR="00E11E18" w:rsidRDefault="00070B48" w:rsidP="00E11E18">
      <w:pPr>
        <w:spacing w:line="360" w:lineRule="auto"/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</w:pPr>
      <w:r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 xml:space="preserve">1. </w:t>
      </w:r>
      <w:r w:rsidRPr="00070B48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>Movilidad de estudiantes para estudios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2"/>
        <w:gridCol w:w="4106"/>
        <w:gridCol w:w="2404"/>
      </w:tblGrid>
      <w:tr w:rsidR="00070B48" w:rsidTr="00070B48"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</w:p>
        </w:tc>
        <w:tc>
          <w:tcPr>
            <w:tcW w:w="4106" w:type="dxa"/>
            <w:tcBorders>
              <w:top w:val="nil"/>
              <w:left w:val="nil"/>
            </w:tcBorders>
          </w:tcPr>
          <w:p w:rsid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</w:p>
        </w:tc>
        <w:tc>
          <w:tcPr>
            <w:tcW w:w="2404" w:type="dxa"/>
          </w:tcPr>
          <w:p w:rsidR="00070B48" w:rsidRDefault="00070B48" w:rsidP="00070B4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Cantidad mensual de las ayudas</w:t>
            </w:r>
          </w:p>
        </w:tc>
      </w:tr>
      <w:tr w:rsidR="00070B48" w:rsidTr="00070B48">
        <w:tc>
          <w:tcPr>
            <w:tcW w:w="2552" w:type="dxa"/>
          </w:tcPr>
          <w:p w:rsid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Grupo 1</w:t>
            </w:r>
          </w:p>
          <w:p w:rsidR="00070B48" w:rsidRP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Países del programa con costes de vida más altos</w:t>
            </w:r>
          </w:p>
        </w:tc>
        <w:tc>
          <w:tcPr>
            <w:tcW w:w="4106" w:type="dxa"/>
            <w:vAlign w:val="center"/>
          </w:tcPr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Dinamarca, Finlandia, Irlanda, Islandia,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Liechtenstein, Luxemburgo, Noruega,</w:t>
            </w:r>
          </w:p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0"/>
                <w:szCs w:val="45"/>
                <w:lang w:eastAsia="es-ES"/>
              </w:rPr>
            </w:pPr>
            <w:proofErr w:type="spellStart"/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ReinoUnido</w:t>
            </w:r>
            <w:proofErr w:type="spellEnd"/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, Suecia</w:t>
            </w:r>
          </w:p>
        </w:tc>
        <w:tc>
          <w:tcPr>
            <w:tcW w:w="2404" w:type="dxa"/>
            <w:vAlign w:val="center"/>
          </w:tcPr>
          <w:p w:rsidR="00070B48" w:rsidRDefault="00070B48" w:rsidP="00070B4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300 €</w:t>
            </w:r>
          </w:p>
        </w:tc>
      </w:tr>
      <w:tr w:rsidR="00070B48" w:rsidTr="00070B48">
        <w:tc>
          <w:tcPr>
            <w:tcW w:w="2552" w:type="dxa"/>
          </w:tcPr>
          <w:p w:rsid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Grupo 2</w:t>
            </w:r>
          </w:p>
          <w:p w:rsidR="00070B48" w:rsidRP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Países del programa con costes de vida medios</w:t>
            </w:r>
          </w:p>
        </w:tc>
        <w:tc>
          <w:tcPr>
            <w:tcW w:w="4106" w:type="dxa"/>
            <w:vAlign w:val="center"/>
          </w:tcPr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Alemania, Austria, Bélgica, Chipre,</w:t>
            </w:r>
          </w:p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España, Francia, Grecia, Italia, Malta,</w:t>
            </w:r>
          </w:p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Países Bajos, Portugal</w:t>
            </w:r>
          </w:p>
        </w:tc>
        <w:tc>
          <w:tcPr>
            <w:tcW w:w="2404" w:type="dxa"/>
            <w:vAlign w:val="center"/>
          </w:tcPr>
          <w:p w:rsidR="00070B48" w:rsidRDefault="00070B48" w:rsidP="00070B4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250 €</w:t>
            </w:r>
          </w:p>
        </w:tc>
      </w:tr>
      <w:tr w:rsidR="00070B48" w:rsidTr="00070B48">
        <w:tc>
          <w:tcPr>
            <w:tcW w:w="2552" w:type="dxa"/>
          </w:tcPr>
          <w:p w:rsid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Grupo 3</w:t>
            </w:r>
          </w:p>
          <w:p w:rsidR="00070B48" w:rsidRPr="00070B48" w:rsidRDefault="00070B48" w:rsidP="00E11E1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Países del programa con costes de vida más bajos</w:t>
            </w:r>
          </w:p>
        </w:tc>
        <w:tc>
          <w:tcPr>
            <w:tcW w:w="4106" w:type="dxa"/>
            <w:vAlign w:val="center"/>
          </w:tcPr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Antigua República Yugoslava de</w:t>
            </w:r>
          </w:p>
          <w:p w:rsidR="00070B48" w:rsidRPr="00070B48" w:rsidRDefault="00070B48" w:rsidP="00070B48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Macedonia, Bulgaria, Croacia, Eslovaquia,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Eslovenia, Estonia, Hungría, Letonia,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Lituania, Polonia, República Checa,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Rumanía, Serbia, Turquía</w:t>
            </w:r>
          </w:p>
        </w:tc>
        <w:tc>
          <w:tcPr>
            <w:tcW w:w="2404" w:type="dxa"/>
            <w:vAlign w:val="center"/>
          </w:tcPr>
          <w:p w:rsidR="00070B48" w:rsidRDefault="00070B48" w:rsidP="00070B4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200 €</w:t>
            </w:r>
          </w:p>
        </w:tc>
      </w:tr>
    </w:tbl>
    <w:p w:rsidR="00070B48" w:rsidRDefault="00070B48" w:rsidP="00E11E18">
      <w:pPr>
        <w:spacing w:line="360" w:lineRule="auto"/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</w:pPr>
    </w:p>
    <w:p w:rsidR="00070B48" w:rsidRPr="00070B48" w:rsidRDefault="00070B48" w:rsidP="00070B48">
      <w:pPr>
        <w:spacing w:line="360" w:lineRule="auto"/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</w:pPr>
      <w:r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 xml:space="preserve">1.1 </w:t>
      </w:r>
      <w:r w:rsidRPr="00070B48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>Ayuda adicional para estudiantes de entornos desfavorecidos</w:t>
      </w:r>
    </w:p>
    <w:p w:rsidR="00070B48" w:rsidRPr="00070B48" w:rsidRDefault="00070B48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Se financiará una cantidad adicional a la 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correspondiente del apartado 1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de 200 €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mensuales a los estudiantes que se encuentren en alguna de las situaciones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siguientes:</w:t>
      </w:r>
    </w:p>
    <w:p w:rsidR="00070B48" w:rsidRPr="00070B48" w:rsidRDefault="00070B48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a) 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>Haber sido beneficiario de una beca de estudios de carácter general del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>Ministerio de Educación y Formación Profesional para realizar estudios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>universitarios y otros estudios superiores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o de una beca del Departamento de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Educación del País Vasco, o de una beca para la escolarización de estudiantes de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niveles no universitarios concedida por el Departamento de Educación del País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Vasco en el curso inmediatamente anterior al que se vaya a realizar la movilidad.</w:t>
      </w:r>
    </w:p>
    <w:p w:rsidR="00070B48" w:rsidRPr="00070B48" w:rsidRDefault="00070B48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b) Tener la condición de 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>refugiado o con derecho a protección subsidiaria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o haber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presentado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b/>
          <w:color w:val="34495E"/>
          <w:sz w:val="20"/>
          <w:szCs w:val="45"/>
          <w:lang w:eastAsia="es-ES"/>
        </w:rPr>
        <w:t>solicitud de protección internacional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en España.</w:t>
      </w:r>
    </w:p>
    <w:p w:rsidR="00070B48" w:rsidRDefault="00070B48" w:rsidP="00070B48">
      <w:pPr>
        <w:spacing w:line="360" w:lineRule="auto"/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</w:pPr>
    </w:p>
    <w:p w:rsidR="00070B48" w:rsidRPr="00070B48" w:rsidRDefault="00070B48" w:rsidP="00070B48">
      <w:pPr>
        <w:spacing w:line="360" w:lineRule="auto"/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</w:pPr>
      <w:r w:rsidRPr="00070B48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>1.2.Movilidad de estudiantes para prácticas en empresas</w:t>
      </w:r>
    </w:p>
    <w:p w:rsidR="00070B48" w:rsidRPr="00070B48" w:rsidRDefault="00070B48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Se financiará una cantidad adicional de 100€ mensuales a la correspondiente 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del apartado 1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. Esta ayuda es incompatible con la ayuda adicional para los estudiantes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de entornos desfavorecidos del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lastRenderedPageBreak/>
        <w:t>apartado 1.1. Sin embargo, los estudiantes de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entornos desfavorecidos que realicen prácticas en empresas tendrán derecho a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percibir la cantidad adicional establecida en el apartado anterior en lugar de la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establecida en este apartado.</w:t>
      </w:r>
    </w:p>
    <w:p w:rsidR="003C4332" w:rsidRDefault="00070B48" w:rsidP="00070B48">
      <w:pPr>
        <w:spacing w:line="360" w:lineRule="auto"/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</w:pPr>
      <w:r w:rsidRPr="00070B48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>1.3.Financiación especial de estudiantes de regiones ultraperiféricas de la UE</w:t>
      </w:r>
      <w:r w:rsidR="003C4332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 xml:space="preserve"> </w:t>
      </w:r>
      <w:r w:rsidRPr="00070B48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>(Comunidad Autónoma de Canarias)</w:t>
      </w:r>
      <w:r w:rsidR="003C4332">
        <w:rPr>
          <w:rFonts w:ascii="Arial" w:eastAsia="Times New Roman" w:hAnsi="Arial" w:cs="Arial"/>
          <w:b/>
          <w:color w:val="34495E"/>
          <w:sz w:val="24"/>
          <w:szCs w:val="45"/>
          <w:lang w:eastAsia="es-ES"/>
        </w:rPr>
        <w:t xml:space="preserve"> </w:t>
      </w:r>
    </w:p>
    <w:p w:rsidR="00070B48" w:rsidRDefault="00070B48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Los estudiantes que realicen estudios de educación superior en la Comunidad</w:t>
      </w:r>
      <w:r w:rsidR="003C4332"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Autónoma de Canarias recibirán las ayudas que figuran en la Guía del Programa.</w:t>
      </w:r>
    </w:p>
    <w:p w:rsidR="003C4332" w:rsidRDefault="003C4332" w:rsidP="00E11E18">
      <w:pPr>
        <w:spacing w:line="360" w:lineRule="auto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</w:p>
    <w:p w:rsidR="003C4332" w:rsidRDefault="003C4332" w:rsidP="00E11E18">
      <w:pPr>
        <w:spacing w:line="360" w:lineRule="auto"/>
        <w:rPr>
          <w:rFonts w:ascii="Arial" w:eastAsia="Times New Roman" w:hAnsi="Arial" w:cs="Arial"/>
          <w:b/>
          <w:color w:val="34495E"/>
          <w:sz w:val="28"/>
          <w:szCs w:val="45"/>
          <w:lang w:eastAsia="es-ES"/>
        </w:rPr>
      </w:pPr>
      <w:r w:rsidRPr="003C4332">
        <w:rPr>
          <w:rFonts w:ascii="Arial" w:eastAsia="Times New Roman" w:hAnsi="Arial" w:cs="Arial"/>
          <w:b/>
          <w:color w:val="34495E"/>
          <w:sz w:val="28"/>
          <w:szCs w:val="45"/>
          <w:lang w:eastAsia="es-ES"/>
        </w:rPr>
        <w:t>MOVILIDAD DEL PERSONAL</w:t>
      </w:r>
    </w:p>
    <w:p w:rsidR="003C4332" w:rsidRDefault="003C4332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El personal recibirá una ayuda como contribución a sus gastos de viaje, de acuerdo con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los importes establecidos en la Guía del Programa y una ayuda de subsistencia durante el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período de estancia en otro país, cuyo importe dependerá del nivel de vida del país de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destino, según los grupos que se describen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3C4332" w:rsidTr="003C4332">
        <w:tc>
          <w:tcPr>
            <w:tcW w:w="6374" w:type="dxa"/>
          </w:tcPr>
          <w:p w:rsidR="003C4332" w:rsidRPr="003C4332" w:rsidRDefault="003C4332" w:rsidP="003C43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 w:rsidRPr="003C4332"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Países de destino</w:t>
            </w:r>
          </w:p>
        </w:tc>
        <w:tc>
          <w:tcPr>
            <w:tcW w:w="2688" w:type="dxa"/>
          </w:tcPr>
          <w:p w:rsidR="003C4332" w:rsidRPr="003C4332" w:rsidRDefault="003C4332" w:rsidP="003C43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</w:pPr>
            <w:r w:rsidRPr="003C4332">
              <w:rPr>
                <w:rFonts w:ascii="Arial" w:eastAsia="Times New Roman" w:hAnsi="Arial" w:cs="Arial"/>
                <w:b/>
                <w:color w:val="34495E"/>
                <w:sz w:val="24"/>
                <w:szCs w:val="45"/>
                <w:lang w:eastAsia="es-ES"/>
              </w:rPr>
              <w:t>Cantidad diaria de las ayudas</w:t>
            </w:r>
          </w:p>
        </w:tc>
      </w:tr>
      <w:tr w:rsidR="003C4332" w:rsidTr="003C4332">
        <w:tc>
          <w:tcPr>
            <w:tcW w:w="6374" w:type="dxa"/>
            <w:vAlign w:val="center"/>
          </w:tcPr>
          <w:p w:rsidR="003C4332" w:rsidRPr="00070B48" w:rsidRDefault="003C4332" w:rsidP="005C7953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Dinamarca, Finlandia, Irlanda, Islandia, Liechtenstein, Luxemburgo, Noruega,</w:t>
            </w:r>
            <w:r w:rsidR="005C7953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Reino</w:t>
            </w:r>
            <w:r w:rsidR="000274CB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bookmarkStart w:id="0" w:name="_GoBack"/>
            <w:bookmarkEnd w:id="0"/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Unido, Suecia</w:t>
            </w:r>
          </w:p>
        </w:tc>
        <w:tc>
          <w:tcPr>
            <w:tcW w:w="2688" w:type="dxa"/>
            <w:vAlign w:val="center"/>
          </w:tcPr>
          <w:p w:rsidR="003C4332" w:rsidRPr="003C4332" w:rsidRDefault="003C4332" w:rsidP="003C43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</w:pPr>
            <w:r w:rsidRPr="003C4332"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  <w:t>120 €</w:t>
            </w:r>
            <w:r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  <w:t>*</w:t>
            </w:r>
          </w:p>
        </w:tc>
      </w:tr>
      <w:tr w:rsidR="003C4332" w:rsidTr="003C4332">
        <w:tc>
          <w:tcPr>
            <w:tcW w:w="6374" w:type="dxa"/>
            <w:vAlign w:val="center"/>
          </w:tcPr>
          <w:p w:rsidR="003C4332" w:rsidRPr="00070B48" w:rsidRDefault="003C4332" w:rsidP="005C7953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Alemania, Austria, Bélgica, Chipre,</w:t>
            </w:r>
            <w:r w:rsidR="005C7953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España, Francia, Grecia, Italia, Malta,</w:t>
            </w:r>
            <w:r w:rsidR="005C7953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Países Bajos, Portugal</w:t>
            </w:r>
          </w:p>
        </w:tc>
        <w:tc>
          <w:tcPr>
            <w:tcW w:w="2688" w:type="dxa"/>
            <w:vAlign w:val="center"/>
          </w:tcPr>
          <w:p w:rsidR="003C4332" w:rsidRPr="003C4332" w:rsidRDefault="003C4332" w:rsidP="003C43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</w:pPr>
            <w:r w:rsidRPr="003C4332"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  <w:t>105 €</w:t>
            </w:r>
            <w:r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  <w:t>*</w:t>
            </w:r>
          </w:p>
        </w:tc>
      </w:tr>
      <w:tr w:rsidR="003C4332" w:rsidTr="003C4332">
        <w:tc>
          <w:tcPr>
            <w:tcW w:w="6374" w:type="dxa"/>
            <w:vAlign w:val="center"/>
          </w:tcPr>
          <w:p w:rsidR="003C4332" w:rsidRPr="00070B48" w:rsidRDefault="003C4332" w:rsidP="005C7953">
            <w:pPr>
              <w:spacing w:line="360" w:lineRule="auto"/>
              <w:rPr>
                <w:rFonts w:ascii="Arial" w:eastAsia="Times New Roman" w:hAnsi="Arial" w:cs="Arial"/>
                <w:b/>
                <w:color w:val="34495E"/>
                <w:sz w:val="20"/>
                <w:szCs w:val="45"/>
                <w:lang w:eastAsia="es-ES"/>
              </w:rPr>
            </w:pP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Antigua República Yugoslava de</w:t>
            </w:r>
            <w:r w:rsidR="005C7953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 xml:space="preserve"> </w:t>
            </w:r>
            <w:r w:rsidRPr="00070B48">
              <w:rPr>
                <w:rFonts w:ascii="Arial" w:eastAsia="Times New Roman" w:hAnsi="Arial" w:cs="Arial"/>
                <w:color w:val="34495E"/>
                <w:sz w:val="20"/>
                <w:szCs w:val="45"/>
                <w:lang w:eastAsia="es-ES"/>
              </w:rPr>
              <w:t>Macedonia, Bulgaria, Croacia, Eslovaquia, Eslovenia, Estonia, Hungría, Letonia, Lituania, Polonia, República Checa, Rumanía, Serbia, Turquía</w:t>
            </w:r>
          </w:p>
        </w:tc>
        <w:tc>
          <w:tcPr>
            <w:tcW w:w="2688" w:type="dxa"/>
            <w:vAlign w:val="center"/>
          </w:tcPr>
          <w:p w:rsidR="003C4332" w:rsidRPr="003C4332" w:rsidRDefault="003C4332" w:rsidP="003C433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</w:pPr>
            <w:r w:rsidRPr="003C4332"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  <w:t>90 €</w:t>
            </w:r>
            <w:r>
              <w:rPr>
                <w:rFonts w:ascii="Arial" w:eastAsia="Times New Roman" w:hAnsi="Arial" w:cs="Arial"/>
                <w:b/>
                <w:color w:val="34495E"/>
                <w:sz w:val="28"/>
                <w:szCs w:val="45"/>
                <w:lang w:eastAsia="es-ES"/>
              </w:rPr>
              <w:t>*</w:t>
            </w:r>
          </w:p>
        </w:tc>
      </w:tr>
    </w:tbl>
    <w:p w:rsidR="003C4332" w:rsidRDefault="003C4332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</w:p>
    <w:p w:rsidR="003C4332" w:rsidRPr="003C4332" w:rsidRDefault="003C4332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>*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Hasta el 14º día de actividad se aplicarán las cantidades diarias indicadas en la tabla;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entre el 15º y el 60º día de actividad se aplicará el 70 % de esas cantidades.</w:t>
      </w:r>
    </w:p>
    <w:p w:rsidR="003C4332" w:rsidRPr="003C4332" w:rsidRDefault="003C4332" w:rsidP="003C4332">
      <w:pPr>
        <w:spacing w:line="360" w:lineRule="auto"/>
        <w:jc w:val="both"/>
        <w:rPr>
          <w:rFonts w:ascii="Arial" w:eastAsia="Times New Roman" w:hAnsi="Arial" w:cs="Arial"/>
          <w:color w:val="34495E"/>
          <w:sz w:val="20"/>
          <w:szCs w:val="45"/>
          <w:lang w:eastAsia="es-ES"/>
        </w:rPr>
      </w:pP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Consulte la Guía del Programa para conocer las normas financieras establecidas para el resto de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 </w:t>
      </w:r>
      <w:r w:rsidRPr="003C4332">
        <w:rPr>
          <w:rFonts w:ascii="Arial" w:eastAsia="Times New Roman" w:hAnsi="Arial" w:cs="Arial"/>
          <w:color w:val="34495E"/>
          <w:sz w:val="20"/>
          <w:szCs w:val="45"/>
          <w:lang w:eastAsia="es-ES"/>
        </w:rPr>
        <w:t>conceptos financiables</w:t>
      </w:r>
      <w:r>
        <w:rPr>
          <w:rFonts w:ascii="Arial" w:eastAsia="Times New Roman" w:hAnsi="Arial" w:cs="Arial"/>
          <w:color w:val="34495E"/>
          <w:sz w:val="20"/>
          <w:szCs w:val="45"/>
          <w:lang w:eastAsia="es-ES"/>
        </w:rPr>
        <w:t xml:space="preserve">. </w:t>
      </w:r>
    </w:p>
    <w:sectPr w:rsidR="003C4332" w:rsidRPr="003C4332" w:rsidSect="00A469E6">
      <w:headerReference w:type="default" r:id="rId7"/>
      <w:pgSz w:w="11906" w:h="16838"/>
      <w:pgMar w:top="709" w:right="1133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009" w:rsidRDefault="00C80009" w:rsidP="00A469E6">
      <w:pPr>
        <w:spacing w:after="0" w:line="240" w:lineRule="auto"/>
      </w:pPr>
      <w:r>
        <w:separator/>
      </w:r>
    </w:p>
  </w:endnote>
  <w:endnote w:type="continuationSeparator" w:id="0">
    <w:p w:rsidR="00C80009" w:rsidRDefault="00C80009" w:rsidP="00A4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009" w:rsidRDefault="00C80009" w:rsidP="00A469E6">
      <w:pPr>
        <w:spacing w:after="0" w:line="240" w:lineRule="auto"/>
      </w:pPr>
      <w:r>
        <w:separator/>
      </w:r>
    </w:p>
  </w:footnote>
  <w:footnote w:type="continuationSeparator" w:id="0">
    <w:p w:rsidR="00C80009" w:rsidRDefault="00C80009" w:rsidP="00A4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9E6" w:rsidRDefault="00A469E6" w:rsidP="00A469E6">
    <w:pPr>
      <w:pStyle w:val="Encabezado"/>
      <w:jc w:val="right"/>
    </w:pPr>
    <w:r w:rsidRPr="00A469E6">
      <w:rPr>
        <w:noProof/>
      </w:rPr>
      <w:drawing>
        <wp:inline distT="0" distB="0" distL="0" distR="0">
          <wp:extent cx="2180590" cy="926956"/>
          <wp:effectExtent l="0" t="0" r="0" b="0"/>
          <wp:docPr id="25" name="Imagen 25" descr="F:\CONSULTING\PROYECTOS\Proyectos KA2_Mejora Educativa\17-19_LINCE (Leader-FEI)\Dissemination\logos\campusfp_fondoBl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CONSULTING\PROYECTOS\Proyectos KA2_Mejora Educativa\17-19_LINCE (Leader-FEI)\Dissemination\logos\campusfp_fondoBlanc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58" cy="932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72C1D"/>
    <w:multiLevelType w:val="multilevel"/>
    <w:tmpl w:val="2EB8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E6"/>
    <w:rsid w:val="000274CB"/>
    <w:rsid w:val="00070B48"/>
    <w:rsid w:val="003C4332"/>
    <w:rsid w:val="004662FF"/>
    <w:rsid w:val="005C7953"/>
    <w:rsid w:val="0084647B"/>
    <w:rsid w:val="00A469E6"/>
    <w:rsid w:val="00B83249"/>
    <w:rsid w:val="00B87C4A"/>
    <w:rsid w:val="00C80009"/>
    <w:rsid w:val="00CD13A4"/>
    <w:rsid w:val="00E1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9334A"/>
  <w15:chartTrackingRefBased/>
  <w15:docId w15:val="{02ECCB26-0882-420F-89BB-E6DB7348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46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6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69E6"/>
  </w:style>
  <w:style w:type="paragraph" w:styleId="Piedepgina">
    <w:name w:val="footer"/>
    <w:basedOn w:val="Normal"/>
    <w:link w:val="PiedepginaCar"/>
    <w:uiPriority w:val="99"/>
    <w:unhideWhenUsed/>
    <w:rsid w:val="00A46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9E6"/>
  </w:style>
  <w:style w:type="paragraph" w:styleId="Textodeglobo">
    <w:name w:val="Balloon Text"/>
    <w:basedOn w:val="Normal"/>
    <w:link w:val="TextodegloboCar"/>
    <w:uiPriority w:val="99"/>
    <w:semiHidden/>
    <w:unhideWhenUsed/>
    <w:rsid w:val="00A46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69E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A469E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4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A4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0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Scooky</dc:creator>
  <cp:keywords/>
  <dc:description/>
  <cp:lastModifiedBy>Scooky</cp:lastModifiedBy>
  <cp:revision>6</cp:revision>
  <dcterms:created xsi:type="dcterms:W3CDTF">2019-04-23T11:32:00Z</dcterms:created>
  <dcterms:modified xsi:type="dcterms:W3CDTF">2019-05-20T10:00:00Z</dcterms:modified>
</cp:coreProperties>
</file>